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B59E" w14:textId="423E0038" w:rsidR="00D44659" w:rsidRDefault="00020BE0" w:rsidP="00020BE0">
      <w:pPr>
        <w:jc w:val="right"/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3FF65F12" wp14:editId="0E2E7E31">
            <wp:simplePos x="0" y="0"/>
            <wp:positionH relativeFrom="margin">
              <wp:posOffset>636905</wp:posOffset>
            </wp:positionH>
            <wp:positionV relativeFrom="margin">
              <wp:posOffset>-326390</wp:posOffset>
            </wp:positionV>
            <wp:extent cx="4000500" cy="1161415"/>
            <wp:effectExtent l="0" t="0" r="12700" b="698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id-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3CD89" w14:textId="77777777" w:rsidR="00B44C72" w:rsidRDefault="00B44C72" w:rsidP="00020BE0">
      <w:pPr>
        <w:jc w:val="center"/>
        <w:rPr>
          <w:b/>
          <w:noProof/>
          <w:lang w:val="en-GB" w:eastAsia="de-DE"/>
        </w:rPr>
      </w:pPr>
    </w:p>
    <w:p w14:paraId="3A710432" w14:textId="77777777" w:rsidR="00B44C72" w:rsidRDefault="00B44C72" w:rsidP="00020BE0">
      <w:pPr>
        <w:jc w:val="center"/>
        <w:rPr>
          <w:b/>
          <w:noProof/>
          <w:lang w:val="en-GB" w:eastAsia="de-DE"/>
        </w:rPr>
      </w:pPr>
    </w:p>
    <w:p w14:paraId="1CBABCB8" w14:textId="77777777" w:rsidR="00B44C72" w:rsidRDefault="00B44C72" w:rsidP="00020BE0">
      <w:pPr>
        <w:jc w:val="center"/>
        <w:rPr>
          <w:b/>
          <w:noProof/>
          <w:lang w:val="en-GB" w:eastAsia="de-DE"/>
        </w:rPr>
      </w:pPr>
    </w:p>
    <w:p w14:paraId="1E766E06" w14:textId="555F664E" w:rsidR="007009C6" w:rsidRPr="007009C6" w:rsidRDefault="007009C6" w:rsidP="00020BE0">
      <w:pPr>
        <w:jc w:val="center"/>
        <w:rPr>
          <w:b/>
          <w:noProof/>
          <w:sz w:val="32"/>
          <w:szCs w:val="32"/>
          <w:lang w:val="en-GB" w:eastAsia="de-DE"/>
        </w:rPr>
      </w:pPr>
      <w:r>
        <w:rPr>
          <w:b/>
          <w:noProof/>
          <w:sz w:val="32"/>
          <w:szCs w:val="32"/>
          <w:lang w:val="en-GB" w:eastAsia="de-DE"/>
        </w:rPr>
        <w:t>i</w:t>
      </w:r>
      <w:r w:rsidRPr="007009C6">
        <w:rPr>
          <w:b/>
          <w:noProof/>
          <w:sz w:val="32"/>
          <w:szCs w:val="32"/>
          <w:lang w:val="en-GB" w:eastAsia="de-DE"/>
        </w:rPr>
        <w:t xml:space="preserve">s searching for </w:t>
      </w:r>
    </w:p>
    <w:p w14:paraId="70F90EEC" w14:textId="337C5913" w:rsidR="009B5072" w:rsidRPr="00036C2E" w:rsidRDefault="008C6FD5" w:rsidP="00CC64ED">
      <w:pPr>
        <w:jc w:val="center"/>
        <w:rPr>
          <w:b/>
          <w:color w:val="0368A9"/>
          <w:sz w:val="32"/>
          <w:szCs w:val="32"/>
          <w:lang w:val="en-GB"/>
        </w:rPr>
      </w:pPr>
      <w:r>
        <w:rPr>
          <w:b/>
          <w:noProof/>
          <w:color w:val="0368A9"/>
          <w:sz w:val="32"/>
          <w:szCs w:val="32"/>
          <w:lang w:val="en-GB" w:eastAsia="de-DE"/>
        </w:rPr>
        <w:t>o</w:t>
      </w:r>
      <w:r w:rsidR="007009C6">
        <w:rPr>
          <w:b/>
          <w:noProof/>
          <w:color w:val="0368A9"/>
          <w:sz w:val="32"/>
          <w:szCs w:val="32"/>
          <w:lang w:val="en-GB" w:eastAsia="de-DE"/>
        </w:rPr>
        <w:t xml:space="preserve">utstanding </w:t>
      </w:r>
      <w:r w:rsidR="00B44C72" w:rsidRPr="00036C2E">
        <w:rPr>
          <w:b/>
          <w:noProof/>
          <w:color w:val="0368A9"/>
          <w:sz w:val="32"/>
          <w:szCs w:val="32"/>
          <w:lang w:val="en-GB" w:eastAsia="de-DE"/>
        </w:rPr>
        <w:t>PhD stude</w:t>
      </w:r>
      <w:r w:rsidR="00754080" w:rsidRPr="00036C2E">
        <w:rPr>
          <w:b/>
          <w:noProof/>
          <w:color w:val="0368A9"/>
          <w:sz w:val="32"/>
          <w:szCs w:val="32"/>
          <w:lang w:val="en-GB" w:eastAsia="de-DE"/>
        </w:rPr>
        <w:t>nt</w:t>
      </w:r>
      <w:r w:rsidR="007009C6">
        <w:rPr>
          <w:b/>
          <w:noProof/>
          <w:color w:val="0368A9"/>
          <w:sz w:val="32"/>
          <w:szCs w:val="32"/>
          <w:lang w:val="en-GB" w:eastAsia="de-DE"/>
        </w:rPr>
        <w:t>s</w:t>
      </w:r>
      <w:r w:rsidR="00754080" w:rsidRPr="00036C2E">
        <w:rPr>
          <w:b/>
          <w:noProof/>
          <w:color w:val="0368A9"/>
          <w:sz w:val="32"/>
          <w:szCs w:val="32"/>
          <w:lang w:val="en-GB" w:eastAsia="de-DE"/>
        </w:rPr>
        <w:t xml:space="preserve"> and Postdoc</w:t>
      </w:r>
      <w:r w:rsidR="007009C6">
        <w:rPr>
          <w:b/>
          <w:noProof/>
          <w:color w:val="0368A9"/>
          <w:sz w:val="32"/>
          <w:szCs w:val="32"/>
          <w:lang w:val="en-GB" w:eastAsia="de-DE"/>
        </w:rPr>
        <w:t>s</w:t>
      </w:r>
      <w:r w:rsidR="00754080" w:rsidRPr="00036C2E">
        <w:rPr>
          <w:b/>
          <w:noProof/>
          <w:color w:val="0368A9"/>
          <w:sz w:val="32"/>
          <w:szCs w:val="32"/>
          <w:lang w:val="en-GB" w:eastAsia="de-DE"/>
        </w:rPr>
        <w:t xml:space="preserve"> </w:t>
      </w:r>
      <w:r w:rsidR="007009C6">
        <w:rPr>
          <w:b/>
          <w:noProof/>
          <w:color w:val="0368A9"/>
          <w:sz w:val="32"/>
          <w:szCs w:val="32"/>
          <w:lang w:val="en-GB" w:eastAsia="de-DE"/>
        </w:rPr>
        <w:t xml:space="preserve">interested in skin related research </w:t>
      </w:r>
    </w:p>
    <w:p w14:paraId="392C55B9" w14:textId="34FBE08F" w:rsidR="000068E5" w:rsidRDefault="003A1FDB" w:rsidP="00020BE0">
      <w:pPr>
        <w:spacing w:after="120"/>
        <w:rPr>
          <w:lang w:val="en-GB"/>
        </w:rPr>
      </w:pPr>
      <w:r>
        <w:rPr>
          <w:lang w:val="en-GB"/>
        </w:rPr>
        <w:t>Are you looking for excellent research opportunities for your PhD or Pos</w:t>
      </w:r>
      <w:r w:rsidR="00DF61D9">
        <w:rPr>
          <w:lang w:val="en-GB"/>
        </w:rPr>
        <w:t>t</w:t>
      </w:r>
      <w:r>
        <w:rPr>
          <w:lang w:val="en-GB"/>
        </w:rPr>
        <w:t xml:space="preserve">doc at the forefront of </w:t>
      </w:r>
      <w:r w:rsidR="00036C2E">
        <w:rPr>
          <w:lang w:val="en-GB"/>
        </w:rPr>
        <w:t>Skin Research? Within</w:t>
      </w:r>
      <w:r w:rsidR="00DF61D9">
        <w:rPr>
          <w:lang w:val="en-GB"/>
        </w:rPr>
        <w:t xml:space="preserve"> the </w:t>
      </w:r>
      <w:r w:rsidR="00DF61D9" w:rsidRPr="00036C2E">
        <w:rPr>
          <w:b/>
          <w:color w:val="0368A9"/>
          <w:lang w:val="en-GB"/>
        </w:rPr>
        <w:t>Collaborative Research Consortium (SFB) 829 “Molecular Mechanisms Regulating Skin Homeostasis</w:t>
      </w:r>
      <w:r w:rsidR="00DF61D9" w:rsidRPr="00036C2E">
        <w:rPr>
          <w:color w:val="0368A9"/>
          <w:lang w:val="en-GB"/>
        </w:rPr>
        <w:t>”</w:t>
      </w:r>
      <w:r w:rsidR="0097699A" w:rsidRPr="00036C2E">
        <w:rPr>
          <w:color w:val="0368A9"/>
          <w:lang w:val="en-GB"/>
        </w:rPr>
        <w:t xml:space="preserve">, </w:t>
      </w:r>
      <w:r w:rsidR="0097699A" w:rsidRPr="00EF5542">
        <w:rPr>
          <w:lang w:val="en-GB"/>
        </w:rPr>
        <w:t>funded by the German Research Foundation</w:t>
      </w:r>
      <w:r w:rsidR="00DF61D9">
        <w:rPr>
          <w:lang w:val="en-GB"/>
        </w:rPr>
        <w:t xml:space="preserve">, 20 </w:t>
      </w:r>
      <w:r w:rsidR="000068E5">
        <w:rPr>
          <w:lang w:val="en-GB"/>
        </w:rPr>
        <w:t xml:space="preserve">Cologne </w:t>
      </w:r>
      <w:r w:rsidR="00DF61D9">
        <w:rPr>
          <w:lang w:val="en-GB"/>
        </w:rPr>
        <w:t>research groups from the University Hospital, the two MPI</w:t>
      </w:r>
      <w:r w:rsidR="00036C2E">
        <w:rPr>
          <w:lang w:val="en-GB"/>
        </w:rPr>
        <w:t>s</w:t>
      </w:r>
      <w:r w:rsidR="00DF61D9">
        <w:rPr>
          <w:lang w:val="en-GB"/>
        </w:rPr>
        <w:t xml:space="preserve"> for Biology of Ageing and Metabolic Research, the German Sports University and the University of Cologne unravel the underlying mechanisms of skin homeostasis and diseases</w:t>
      </w:r>
      <w:r w:rsidR="0097699A" w:rsidRPr="00EF5542">
        <w:rPr>
          <w:lang w:val="en-GB"/>
        </w:rPr>
        <w:t xml:space="preserve">. </w:t>
      </w:r>
    </w:p>
    <w:p w14:paraId="2FCAEC79" w14:textId="63249246" w:rsidR="000068E5" w:rsidRDefault="000068E5" w:rsidP="00020BE0">
      <w:pPr>
        <w:spacing w:after="120"/>
        <w:rPr>
          <w:lang w:val="en-US"/>
        </w:rPr>
      </w:pPr>
      <w:r w:rsidRPr="009B5072">
        <w:rPr>
          <w:lang w:val="en-US"/>
        </w:rPr>
        <w:t>PhD Students and Postdocs part</w:t>
      </w:r>
      <w:r w:rsidR="008C6FD5">
        <w:rPr>
          <w:lang w:val="en-US"/>
        </w:rPr>
        <w:t>icipating in the projects of SFB</w:t>
      </w:r>
      <w:bookmarkStart w:id="0" w:name="_GoBack"/>
      <w:bookmarkEnd w:id="0"/>
      <w:r w:rsidRPr="009B5072">
        <w:rPr>
          <w:lang w:val="en-US"/>
        </w:rPr>
        <w:t xml:space="preserve"> 829 will become members of the Integrated Research Training Group </w:t>
      </w:r>
      <w:r>
        <w:rPr>
          <w:lang w:val="en-US"/>
        </w:rPr>
        <w:t>(IRTG) program</w:t>
      </w:r>
      <w:r w:rsidRPr="009B5072">
        <w:rPr>
          <w:lang w:val="en-US"/>
        </w:rPr>
        <w:t>, which provides them with the best possible scientific and team environment, guidance, mentoring and teaching.</w:t>
      </w:r>
    </w:p>
    <w:p w14:paraId="765DFFE3" w14:textId="6DB3646E" w:rsidR="000068E5" w:rsidRDefault="000068E5" w:rsidP="00020BE0">
      <w:pPr>
        <w:spacing w:after="120"/>
        <w:rPr>
          <w:lang w:val="en-US"/>
        </w:rPr>
      </w:pPr>
      <w:r>
        <w:rPr>
          <w:lang w:val="en-US"/>
        </w:rPr>
        <w:t xml:space="preserve">PhD students have the possibility to </w:t>
      </w:r>
      <w:r w:rsidR="00036C2E">
        <w:rPr>
          <w:lang w:val="en-US"/>
        </w:rPr>
        <w:t>enroll in one of the graduate school pr</w:t>
      </w:r>
      <w:r>
        <w:rPr>
          <w:lang w:val="en-US"/>
        </w:rPr>
        <w:t xml:space="preserve">ograms available on the </w:t>
      </w:r>
      <w:r w:rsidR="00036C2E">
        <w:rPr>
          <w:lang w:val="en-US"/>
        </w:rPr>
        <w:t xml:space="preserve">Cologne </w:t>
      </w:r>
      <w:r>
        <w:rPr>
          <w:lang w:val="en-US"/>
        </w:rPr>
        <w:t>Campus.</w:t>
      </w:r>
    </w:p>
    <w:p w14:paraId="409CF262" w14:textId="77777777" w:rsidR="000068E5" w:rsidRDefault="000068E5" w:rsidP="00020BE0">
      <w:pPr>
        <w:spacing w:after="120"/>
        <w:rPr>
          <w:lang w:val="en-GB"/>
        </w:rPr>
      </w:pPr>
      <w:r>
        <w:rPr>
          <w:lang w:val="en-GB"/>
        </w:rPr>
        <w:t>The positions are available in different SFB 829 projects in diverse skin research projects:</w:t>
      </w:r>
    </w:p>
    <w:p w14:paraId="3349FCDC" w14:textId="2FAFE1CC" w:rsidR="000068E5" w:rsidRPr="00036C2E" w:rsidRDefault="000068E5" w:rsidP="000068E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b/>
          <w:color w:val="0368A9"/>
          <w:lang w:val="en-GB"/>
        </w:rPr>
      </w:pPr>
      <w:r w:rsidRPr="00036C2E">
        <w:rPr>
          <w:b/>
          <w:color w:val="0368A9"/>
          <w:lang w:val="en-GB"/>
        </w:rPr>
        <w:t xml:space="preserve">Cell biology and skin stem cell decisions </w:t>
      </w:r>
    </w:p>
    <w:p w14:paraId="2F5B96B5" w14:textId="366731F5" w:rsidR="000068E5" w:rsidRPr="00036C2E" w:rsidRDefault="000068E5" w:rsidP="000068E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b/>
          <w:color w:val="0368A9"/>
          <w:lang w:val="en-GB"/>
        </w:rPr>
      </w:pPr>
      <w:r w:rsidRPr="00036C2E">
        <w:rPr>
          <w:b/>
          <w:color w:val="0368A9"/>
          <w:lang w:val="en-GB"/>
        </w:rPr>
        <w:t>Skin innate immune responses</w:t>
      </w:r>
    </w:p>
    <w:p w14:paraId="4CB0D1A3" w14:textId="2FF45261" w:rsidR="000068E5" w:rsidRPr="00036C2E" w:rsidRDefault="000068E5" w:rsidP="000068E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b/>
          <w:color w:val="0368A9"/>
          <w:lang w:val="en-GB"/>
        </w:rPr>
      </w:pPr>
      <w:r w:rsidRPr="00036C2E">
        <w:rPr>
          <w:b/>
          <w:color w:val="0368A9"/>
          <w:lang w:val="en-GB"/>
        </w:rPr>
        <w:t>DNA damage and skin aging</w:t>
      </w:r>
    </w:p>
    <w:p w14:paraId="09761C97" w14:textId="7E7AB232" w:rsidR="000068E5" w:rsidRPr="00036C2E" w:rsidRDefault="000068E5" w:rsidP="000068E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b/>
          <w:color w:val="0368A9"/>
          <w:lang w:val="en-GB"/>
        </w:rPr>
      </w:pPr>
      <w:r w:rsidRPr="00036C2E">
        <w:rPr>
          <w:b/>
          <w:color w:val="0368A9"/>
          <w:lang w:val="en-GB"/>
        </w:rPr>
        <w:t>Signalling in skin homeostasis and cancer cell formation</w:t>
      </w:r>
    </w:p>
    <w:p w14:paraId="44133268" w14:textId="6F732116" w:rsidR="000068E5" w:rsidRPr="00036C2E" w:rsidRDefault="000068E5" w:rsidP="000068E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b/>
          <w:color w:val="0368A9"/>
          <w:lang w:val="en-GB"/>
        </w:rPr>
      </w:pPr>
      <w:r w:rsidRPr="00036C2E">
        <w:rPr>
          <w:b/>
          <w:color w:val="0368A9"/>
          <w:lang w:val="en-GB"/>
        </w:rPr>
        <w:t>Mitochondria in epidermal skin cells</w:t>
      </w:r>
    </w:p>
    <w:p w14:paraId="64052B40" w14:textId="7FD3DB8F" w:rsidR="0097699A" w:rsidRDefault="0097699A" w:rsidP="000068E5">
      <w:pPr>
        <w:spacing w:after="0"/>
        <w:rPr>
          <w:b/>
          <w:lang w:val="en-GB"/>
        </w:rPr>
      </w:pPr>
      <w:r w:rsidRPr="00EF5542">
        <w:rPr>
          <w:b/>
          <w:lang w:val="en-GB"/>
        </w:rPr>
        <w:t>For more detail</w:t>
      </w:r>
      <w:r w:rsidR="009B5072">
        <w:rPr>
          <w:b/>
          <w:lang w:val="en-GB"/>
        </w:rPr>
        <w:t xml:space="preserve">s </w:t>
      </w:r>
      <w:r w:rsidR="004D41CC">
        <w:rPr>
          <w:b/>
          <w:lang w:val="en-GB"/>
        </w:rPr>
        <w:t xml:space="preserve">and job opportunities </w:t>
      </w:r>
      <w:r w:rsidR="001A29A8">
        <w:rPr>
          <w:b/>
          <w:lang w:val="en-GB"/>
        </w:rPr>
        <w:t xml:space="preserve">in </w:t>
      </w:r>
      <w:r w:rsidR="00036C2E">
        <w:rPr>
          <w:b/>
          <w:lang w:val="en-GB"/>
        </w:rPr>
        <w:t>our</w:t>
      </w:r>
      <w:r w:rsidR="001A29A8">
        <w:rPr>
          <w:b/>
          <w:lang w:val="en-GB"/>
        </w:rPr>
        <w:t xml:space="preserve"> SFB 829 research groups </w:t>
      </w:r>
      <w:r w:rsidR="009B5072">
        <w:rPr>
          <w:b/>
          <w:lang w:val="en-GB"/>
        </w:rPr>
        <w:t>visit our website: www.sfb829</w:t>
      </w:r>
      <w:r w:rsidRPr="00EF5542">
        <w:rPr>
          <w:b/>
          <w:lang w:val="en-GB"/>
        </w:rPr>
        <w:t xml:space="preserve">.uni-koeln.de </w:t>
      </w:r>
    </w:p>
    <w:p w14:paraId="221EE8D3" w14:textId="77777777" w:rsidR="00036C2E" w:rsidRDefault="00036C2E" w:rsidP="000068E5">
      <w:pPr>
        <w:spacing w:after="0"/>
        <w:rPr>
          <w:b/>
          <w:lang w:val="en-GB"/>
        </w:rPr>
      </w:pPr>
    </w:p>
    <w:p w14:paraId="16D698C8" w14:textId="3D05BD77" w:rsidR="00036C2E" w:rsidRPr="00036C2E" w:rsidRDefault="00036C2E" w:rsidP="000068E5">
      <w:pPr>
        <w:spacing w:after="0"/>
        <w:rPr>
          <w:lang w:val="en-GB"/>
        </w:rPr>
      </w:pPr>
      <w:r>
        <w:rPr>
          <w:lang w:val="en-GB"/>
        </w:rPr>
        <w:t>Funding is</w:t>
      </w:r>
      <w:r w:rsidRPr="00036C2E">
        <w:rPr>
          <w:lang w:val="en-GB"/>
        </w:rPr>
        <w:t xml:space="preserve"> available until maximum December 2020</w:t>
      </w:r>
      <w:r>
        <w:rPr>
          <w:lang w:val="en-GB"/>
        </w:rPr>
        <w:t>. Payment is based on the German TV-L E13 scale (65% for PhD students, 100% for Postdocs).</w:t>
      </w:r>
    </w:p>
    <w:p w14:paraId="35591C9A" w14:textId="37077EB3" w:rsidR="0097699A" w:rsidRPr="009B5072" w:rsidRDefault="0097699A" w:rsidP="00020BE0">
      <w:pPr>
        <w:spacing w:before="120" w:after="0"/>
        <w:rPr>
          <w:lang w:val="en-US"/>
        </w:rPr>
      </w:pPr>
      <w:r w:rsidRPr="004D41CC">
        <w:rPr>
          <w:lang w:val="en-US"/>
        </w:rPr>
        <w:t xml:space="preserve">Applications in English are invited from highly-qualified graduate students and young researchers. </w:t>
      </w:r>
      <w:r w:rsidRPr="009B5072">
        <w:rPr>
          <w:lang w:val="en-US"/>
        </w:rPr>
        <w:t>Applicants for PhD posit</w:t>
      </w:r>
      <w:r w:rsidR="004D41CC">
        <w:rPr>
          <w:lang w:val="en-US"/>
        </w:rPr>
        <w:t xml:space="preserve">ions should have a very good </w:t>
      </w:r>
      <w:r w:rsidRPr="009B5072">
        <w:rPr>
          <w:lang w:val="en-US"/>
        </w:rPr>
        <w:t>MA</w:t>
      </w:r>
      <w:r w:rsidR="004D41CC">
        <w:rPr>
          <w:lang w:val="en-US"/>
        </w:rPr>
        <w:t xml:space="preserve"> (or equivalent)</w:t>
      </w:r>
      <w:r w:rsidRPr="009B5072">
        <w:rPr>
          <w:lang w:val="en-US"/>
        </w:rPr>
        <w:t xml:space="preserve"> in Cell Biology, Biochemistry or Genetics, applicants for a Postdoc position should have an </w:t>
      </w:r>
      <w:r w:rsidR="004D41CC">
        <w:rPr>
          <w:lang w:val="en-US"/>
        </w:rPr>
        <w:t xml:space="preserve">outstanding </w:t>
      </w:r>
      <w:r w:rsidRPr="009B5072">
        <w:rPr>
          <w:lang w:val="en-US"/>
        </w:rPr>
        <w:t xml:space="preserve">PhD and publication record </w:t>
      </w:r>
      <w:r w:rsidR="004D41CC">
        <w:rPr>
          <w:lang w:val="en-US"/>
        </w:rPr>
        <w:t>relevant for</w:t>
      </w:r>
      <w:r w:rsidRPr="009B5072">
        <w:rPr>
          <w:lang w:val="en-US"/>
        </w:rPr>
        <w:t xml:space="preserve"> </w:t>
      </w:r>
      <w:r w:rsidR="00036C2E">
        <w:rPr>
          <w:lang w:val="en-US"/>
        </w:rPr>
        <w:t>the research foci of the SFB</w:t>
      </w:r>
      <w:r w:rsidR="009B5072" w:rsidRPr="009B5072">
        <w:rPr>
          <w:lang w:val="en-US"/>
        </w:rPr>
        <w:t xml:space="preserve"> </w:t>
      </w:r>
      <w:r w:rsidRPr="009B5072">
        <w:rPr>
          <w:lang w:val="en-US"/>
        </w:rPr>
        <w:t>8</w:t>
      </w:r>
      <w:r w:rsidR="009B5072">
        <w:rPr>
          <w:lang w:val="en-US"/>
        </w:rPr>
        <w:t>29</w:t>
      </w:r>
      <w:r w:rsidRPr="009B5072">
        <w:rPr>
          <w:lang w:val="en-US"/>
        </w:rPr>
        <w:t>.</w:t>
      </w:r>
    </w:p>
    <w:p w14:paraId="36AB1E6E" w14:textId="77777777" w:rsidR="0097699A" w:rsidRPr="004D41CC" w:rsidRDefault="0097699A" w:rsidP="00020BE0">
      <w:pPr>
        <w:spacing w:before="120" w:after="0"/>
        <w:rPr>
          <w:lang w:val="en-US"/>
        </w:rPr>
      </w:pPr>
      <w:r w:rsidRPr="009B5072">
        <w:rPr>
          <w:lang w:val="en-US"/>
        </w:rPr>
        <w:t xml:space="preserve">The </w:t>
      </w:r>
      <w:r w:rsidR="009B5072" w:rsidRPr="009B5072">
        <w:rPr>
          <w:lang w:val="en-US"/>
        </w:rPr>
        <w:t xml:space="preserve">university Hospital of the </w:t>
      </w:r>
      <w:r w:rsidRPr="009B5072">
        <w:rPr>
          <w:lang w:val="en-US"/>
        </w:rPr>
        <w:t xml:space="preserve">University of Cologne </w:t>
      </w:r>
      <w:r w:rsidR="009B5072">
        <w:rPr>
          <w:lang w:val="en-US"/>
        </w:rPr>
        <w:t>is an equal opportunities employer</w:t>
      </w:r>
      <w:r w:rsidRPr="009B5072">
        <w:rPr>
          <w:lang w:val="en-US"/>
        </w:rPr>
        <w:t xml:space="preserve">. </w:t>
      </w:r>
      <w:r w:rsidRPr="004D41CC">
        <w:rPr>
          <w:lang w:val="en-US"/>
        </w:rPr>
        <w:t xml:space="preserve">Applications of women are thus especially encouraged. Handicapped candidates will be given priority in case of the same professional qualification. </w:t>
      </w:r>
    </w:p>
    <w:p w14:paraId="56C43639" w14:textId="392EF1C9" w:rsidR="00036C2E" w:rsidRDefault="009B5072" w:rsidP="00286F58">
      <w:pPr>
        <w:spacing w:before="120" w:after="0"/>
        <w:rPr>
          <w:b/>
          <w:lang w:val="en-GB"/>
        </w:rPr>
      </w:pPr>
      <w:r>
        <w:rPr>
          <w:lang w:val="en-US"/>
        </w:rPr>
        <w:t xml:space="preserve">Applications should be directed to the PIs </w:t>
      </w:r>
      <w:r w:rsidR="00121775">
        <w:rPr>
          <w:lang w:val="en-US"/>
        </w:rPr>
        <w:t>of interest</w:t>
      </w:r>
      <w:r>
        <w:rPr>
          <w:lang w:val="en-US"/>
        </w:rPr>
        <w:t xml:space="preserve">. </w:t>
      </w:r>
      <w:r w:rsidR="0097699A" w:rsidRPr="009B5072">
        <w:rPr>
          <w:lang w:val="en-US"/>
        </w:rPr>
        <w:t>Applicants should send a cover letter stating the relevant background, CV, copies of</w:t>
      </w:r>
      <w:r w:rsidR="003876F3">
        <w:rPr>
          <w:lang w:val="en-US"/>
        </w:rPr>
        <w:t xml:space="preserve"> the last university degree (</w:t>
      </w:r>
      <w:r w:rsidR="0097699A" w:rsidRPr="009B5072">
        <w:rPr>
          <w:lang w:val="en-US"/>
        </w:rPr>
        <w:t xml:space="preserve">MA </w:t>
      </w:r>
      <w:r w:rsidR="00DE17A6">
        <w:rPr>
          <w:lang w:val="en-US"/>
        </w:rPr>
        <w:t xml:space="preserve">or equivalent </w:t>
      </w:r>
      <w:r w:rsidR="0097699A" w:rsidRPr="009B5072">
        <w:rPr>
          <w:lang w:val="en-US"/>
        </w:rPr>
        <w:t>for a PhD position, respectively the PhD certificate</w:t>
      </w:r>
      <w:r w:rsidR="00DE17A6">
        <w:rPr>
          <w:lang w:val="en-US"/>
        </w:rPr>
        <w:t>)</w:t>
      </w:r>
      <w:r w:rsidR="0097699A" w:rsidRPr="009B5072">
        <w:rPr>
          <w:lang w:val="en-US"/>
        </w:rPr>
        <w:t xml:space="preserve"> and two reference contacts by email as a single PDF to the attention of </w:t>
      </w:r>
      <w:r w:rsidR="004D074F">
        <w:rPr>
          <w:lang w:val="en-US"/>
        </w:rPr>
        <w:t>Julia Zielinski</w:t>
      </w:r>
      <w:r w:rsidR="0097699A" w:rsidRPr="009B5072">
        <w:rPr>
          <w:lang w:val="en-US"/>
        </w:rPr>
        <w:t xml:space="preserve"> (</w:t>
      </w:r>
      <w:r w:rsidR="004D074F">
        <w:rPr>
          <w:lang w:val="en-US"/>
        </w:rPr>
        <w:t>julia.zielinski@uk</w:t>
      </w:r>
      <w:r w:rsidR="0097699A" w:rsidRPr="009B5072">
        <w:rPr>
          <w:lang w:val="en-US"/>
        </w:rPr>
        <w:t>-koeln.de).</w:t>
      </w:r>
      <w:r w:rsidR="0097699A" w:rsidRPr="009B5072">
        <w:rPr>
          <w:lang w:val="en-US"/>
        </w:rPr>
        <w:br/>
      </w:r>
    </w:p>
    <w:p w14:paraId="7339D5E9" w14:textId="40610432" w:rsidR="00A96C0D" w:rsidRPr="00286F58" w:rsidRDefault="0097699A" w:rsidP="00286F58">
      <w:pPr>
        <w:spacing w:before="120" w:after="0"/>
        <w:rPr>
          <w:lang w:val="en-GB"/>
        </w:rPr>
      </w:pPr>
      <w:r w:rsidRPr="000579A8">
        <w:rPr>
          <w:b/>
          <w:lang w:val="en-GB"/>
        </w:rPr>
        <w:t xml:space="preserve">Closing date for applications is </w:t>
      </w:r>
      <w:r w:rsidR="004D074F">
        <w:rPr>
          <w:b/>
          <w:lang w:val="en-GB"/>
        </w:rPr>
        <w:t>February 26</w:t>
      </w:r>
      <w:r w:rsidR="004D074F" w:rsidRPr="004D074F">
        <w:rPr>
          <w:b/>
          <w:vertAlign w:val="superscript"/>
          <w:lang w:val="en-GB"/>
        </w:rPr>
        <w:t>th</w:t>
      </w:r>
      <w:r w:rsidR="004D074F">
        <w:rPr>
          <w:b/>
          <w:lang w:val="en-GB"/>
        </w:rPr>
        <w:t>, 2017</w:t>
      </w:r>
      <w:r w:rsidRPr="000579A8">
        <w:rPr>
          <w:b/>
          <w:lang w:val="en-GB"/>
        </w:rPr>
        <w:t>.</w:t>
      </w:r>
    </w:p>
    <w:sectPr w:rsidR="00A96C0D" w:rsidRPr="00286F58" w:rsidSect="00605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52FC3"/>
    <w:multiLevelType w:val="hybridMultilevel"/>
    <w:tmpl w:val="210C34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37FF"/>
    <w:multiLevelType w:val="hybridMultilevel"/>
    <w:tmpl w:val="00700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2"/>
    <w:rsid w:val="000068E5"/>
    <w:rsid w:val="00020BE0"/>
    <w:rsid w:val="0003153C"/>
    <w:rsid w:val="00036C2E"/>
    <w:rsid w:val="000579A8"/>
    <w:rsid w:val="00077A19"/>
    <w:rsid w:val="000921A6"/>
    <w:rsid w:val="000A6253"/>
    <w:rsid w:val="000A6B31"/>
    <w:rsid w:val="000F4183"/>
    <w:rsid w:val="00121775"/>
    <w:rsid w:val="00121FA7"/>
    <w:rsid w:val="00132CB1"/>
    <w:rsid w:val="0015627D"/>
    <w:rsid w:val="001743CD"/>
    <w:rsid w:val="00184EA0"/>
    <w:rsid w:val="001A29A8"/>
    <w:rsid w:val="001A56EF"/>
    <w:rsid w:val="001A7FCE"/>
    <w:rsid w:val="001E03C0"/>
    <w:rsid w:val="001E192D"/>
    <w:rsid w:val="00205D46"/>
    <w:rsid w:val="00207FF5"/>
    <w:rsid w:val="0023226B"/>
    <w:rsid w:val="002324FC"/>
    <w:rsid w:val="0024268F"/>
    <w:rsid w:val="00286F58"/>
    <w:rsid w:val="002A2244"/>
    <w:rsid w:val="002F54DE"/>
    <w:rsid w:val="0033217B"/>
    <w:rsid w:val="0035109C"/>
    <w:rsid w:val="003876F3"/>
    <w:rsid w:val="003A1FDB"/>
    <w:rsid w:val="003C0CC1"/>
    <w:rsid w:val="003F6714"/>
    <w:rsid w:val="00404D2A"/>
    <w:rsid w:val="004865CF"/>
    <w:rsid w:val="004D074F"/>
    <w:rsid w:val="004D32F7"/>
    <w:rsid w:val="004D41CC"/>
    <w:rsid w:val="00501F7F"/>
    <w:rsid w:val="00514FA7"/>
    <w:rsid w:val="00517FD6"/>
    <w:rsid w:val="00530149"/>
    <w:rsid w:val="00581EBC"/>
    <w:rsid w:val="00586515"/>
    <w:rsid w:val="005F57A1"/>
    <w:rsid w:val="00605ABF"/>
    <w:rsid w:val="0061788B"/>
    <w:rsid w:val="00632DD1"/>
    <w:rsid w:val="006553DA"/>
    <w:rsid w:val="006A1E08"/>
    <w:rsid w:val="006C1F42"/>
    <w:rsid w:val="006D47C6"/>
    <w:rsid w:val="007009C6"/>
    <w:rsid w:val="00730313"/>
    <w:rsid w:val="00754080"/>
    <w:rsid w:val="00777D19"/>
    <w:rsid w:val="007C4F52"/>
    <w:rsid w:val="008205B5"/>
    <w:rsid w:val="0083574A"/>
    <w:rsid w:val="00876DDA"/>
    <w:rsid w:val="00877269"/>
    <w:rsid w:val="00885183"/>
    <w:rsid w:val="008C6FD5"/>
    <w:rsid w:val="00917977"/>
    <w:rsid w:val="00934CF6"/>
    <w:rsid w:val="009464BE"/>
    <w:rsid w:val="00971A63"/>
    <w:rsid w:val="00974CD8"/>
    <w:rsid w:val="0097699A"/>
    <w:rsid w:val="009B1C58"/>
    <w:rsid w:val="009B5072"/>
    <w:rsid w:val="009E0084"/>
    <w:rsid w:val="009F5BBA"/>
    <w:rsid w:val="009F7D4D"/>
    <w:rsid w:val="00A06273"/>
    <w:rsid w:val="00A62AA8"/>
    <w:rsid w:val="00A730B4"/>
    <w:rsid w:val="00A96C0D"/>
    <w:rsid w:val="00AC511A"/>
    <w:rsid w:val="00AC7283"/>
    <w:rsid w:val="00AF3E3C"/>
    <w:rsid w:val="00B11B39"/>
    <w:rsid w:val="00B44C72"/>
    <w:rsid w:val="00B44D94"/>
    <w:rsid w:val="00B46EFB"/>
    <w:rsid w:val="00B647D5"/>
    <w:rsid w:val="00B648D9"/>
    <w:rsid w:val="00B765AB"/>
    <w:rsid w:val="00B9020D"/>
    <w:rsid w:val="00BE645B"/>
    <w:rsid w:val="00BF5A78"/>
    <w:rsid w:val="00C0713D"/>
    <w:rsid w:val="00C24CF6"/>
    <w:rsid w:val="00C26666"/>
    <w:rsid w:val="00C435FE"/>
    <w:rsid w:val="00CA6C07"/>
    <w:rsid w:val="00CC64ED"/>
    <w:rsid w:val="00CD0273"/>
    <w:rsid w:val="00CE0748"/>
    <w:rsid w:val="00D05F8B"/>
    <w:rsid w:val="00D33291"/>
    <w:rsid w:val="00D44659"/>
    <w:rsid w:val="00D5105B"/>
    <w:rsid w:val="00DB6364"/>
    <w:rsid w:val="00DD4A65"/>
    <w:rsid w:val="00DE17A6"/>
    <w:rsid w:val="00DE680C"/>
    <w:rsid w:val="00DF5E93"/>
    <w:rsid w:val="00DF61D9"/>
    <w:rsid w:val="00E32737"/>
    <w:rsid w:val="00E80094"/>
    <w:rsid w:val="00EA5044"/>
    <w:rsid w:val="00EE7CAB"/>
    <w:rsid w:val="00EF34D6"/>
    <w:rsid w:val="00EF5542"/>
    <w:rsid w:val="00F02596"/>
    <w:rsid w:val="00F20691"/>
    <w:rsid w:val="00F5585A"/>
    <w:rsid w:val="00F74184"/>
    <w:rsid w:val="00F8283A"/>
    <w:rsid w:val="00FB2F74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39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5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F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668A0E-236A-3F49-87CE-954102B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Microsoft Office-Anwender</cp:lastModifiedBy>
  <cp:revision>2</cp:revision>
  <cp:lastPrinted>2016-06-28T12:45:00Z</cp:lastPrinted>
  <dcterms:created xsi:type="dcterms:W3CDTF">2017-01-25T16:05:00Z</dcterms:created>
  <dcterms:modified xsi:type="dcterms:W3CDTF">2017-01-25T16:05:00Z</dcterms:modified>
</cp:coreProperties>
</file>